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6F03" w14:textId="77777777" w:rsidR="00B12541" w:rsidRDefault="008E0F05" w:rsidP="00B12541">
      <w:pPr>
        <w:pStyle w:val="NormalWeb"/>
        <w:spacing w:before="0" w:beforeAutospacing="0" w:after="0" w:afterAutospacing="0"/>
        <w:rPr>
          <w:rFonts w:ascii="Calibri" w:hAnsi="Calibri"/>
          <w:color w:val="000000"/>
          <w:sz w:val="34"/>
          <w:szCs w:val="34"/>
          <w:lang w:val="en-US"/>
        </w:rPr>
      </w:pPr>
      <w:r>
        <w:rPr>
          <w:rFonts w:ascii="Calibri" w:hAnsi="Calibri"/>
          <w:color w:val="000000"/>
          <w:sz w:val="34"/>
          <w:szCs w:val="34"/>
          <w:lang w:val="en-US"/>
        </w:rPr>
        <w:t xml:space="preserve">Part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3</w:t>
      </w:r>
      <w:r w:rsidR="00A27AA4">
        <w:rPr>
          <w:rFonts w:ascii="Calibri" w:hAnsi="Calibri"/>
          <w:color w:val="000000"/>
          <w:sz w:val="34"/>
          <w:szCs w:val="34"/>
          <w:lang w:val="en-US"/>
        </w:rPr>
        <w:t>.</w:t>
      </w:r>
      <w:r w:rsidR="002F2C8B">
        <w:rPr>
          <w:rFonts w:ascii="Calibri" w:hAnsi="Calibri"/>
          <w:color w:val="000000"/>
          <w:sz w:val="34"/>
          <w:szCs w:val="34"/>
          <w:lang w:val="en-US"/>
        </w:rPr>
        <w:t>8</w:t>
      </w:r>
      <w:r w:rsidR="003809EC">
        <w:rPr>
          <w:rFonts w:ascii="Calibri" w:hAnsi="Calibri"/>
          <w:color w:val="000000"/>
          <w:sz w:val="34"/>
          <w:szCs w:val="34"/>
          <w:lang w:val="en-US"/>
        </w:rPr>
        <w:t xml:space="preserve"> - </w:t>
      </w:r>
      <w:r w:rsidR="00902DA5">
        <w:rPr>
          <w:rFonts w:ascii="Calibri" w:hAnsi="Calibri"/>
          <w:color w:val="000000"/>
          <w:sz w:val="34"/>
          <w:szCs w:val="34"/>
          <w:lang w:val="en-US"/>
        </w:rPr>
        <w:t>Operational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Policies </w:t>
      </w:r>
      <w:r>
        <w:rPr>
          <w:rFonts w:ascii="Calibri" w:hAnsi="Calibri"/>
          <w:color w:val="000000"/>
          <w:sz w:val="34"/>
          <w:szCs w:val="34"/>
          <w:lang w:val="en-US"/>
        </w:rPr>
        <w:t>–</w:t>
      </w:r>
      <w:r w:rsidR="0036134E">
        <w:rPr>
          <w:rFonts w:ascii="Calibri" w:hAnsi="Calibri"/>
          <w:color w:val="000000"/>
          <w:sz w:val="34"/>
          <w:szCs w:val="34"/>
          <w:lang w:val="en-US"/>
        </w:rPr>
        <w:t xml:space="preserve"> </w:t>
      </w:r>
      <w:r w:rsidR="002F2C8B">
        <w:rPr>
          <w:rFonts w:ascii="Calibri" w:hAnsi="Calibri"/>
          <w:color w:val="000000"/>
          <w:sz w:val="34"/>
          <w:szCs w:val="34"/>
          <w:lang w:val="en-US"/>
        </w:rPr>
        <w:t>Financial Planning</w:t>
      </w:r>
      <w:r w:rsidR="00B12541">
        <w:rPr>
          <w:rFonts w:ascii="Calibri" w:hAnsi="Calibri"/>
          <w:color w:val="000000"/>
          <w:sz w:val="34"/>
          <w:szCs w:val="34"/>
          <w:lang w:val="en-US"/>
        </w:rPr>
        <w:t xml:space="preserve"> Policy</w:t>
      </w:r>
    </w:p>
    <w:p w14:paraId="57404A4C" w14:textId="77777777" w:rsidR="000A34E8" w:rsidRDefault="000A34E8" w:rsidP="002F2C8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</w:p>
    <w:p w14:paraId="3EFB1C0C" w14:textId="77777777" w:rsidR="000A34E8" w:rsidRPr="000A34E8" w:rsidRDefault="000A34E8" w:rsidP="000A34E8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</w:p>
    <w:p w14:paraId="72DADE99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Outcome statement</w:t>
      </w:r>
    </w:p>
    <w:p w14:paraId="519A8E50" w14:textId="77777777" w:rsidR="00353FE9" w:rsidRDefault="00353FE9" w:rsidP="00353FE9">
      <w:pPr>
        <w:pStyle w:val="BodyText"/>
        <w:spacing w:before="54" w:line="276" w:lineRule="auto"/>
        <w:ind w:left="0"/>
        <w:rPr>
          <w:rFonts w:ascii="Arial" w:hAnsi="Arial" w:cs="Arial"/>
        </w:rPr>
      </w:pPr>
      <w:r>
        <w:rPr>
          <w:rFonts w:ascii="Arial" w:eastAsia="Calibri" w:hAnsi="Arial" w:cs="Arial"/>
          <w:color w:val="231F20"/>
        </w:rPr>
        <w:t xml:space="preserve">      All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school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resources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managed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prudently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ensure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resources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targeted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where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make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most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difference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outcomes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students</w:t>
      </w:r>
      <w:r>
        <w:rPr>
          <w:rFonts w:ascii="Arial" w:hAnsi="Arial" w:cs="Arial"/>
          <w:color w:val="231F20"/>
        </w:rPr>
        <w:t>.</w:t>
      </w:r>
    </w:p>
    <w:p w14:paraId="31528149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Scoping</w:t>
      </w:r>
    </w:p>
    <w:p w14:paraId="4536886A" w14:textId="77777777" w:rsidR="00353FE9" w:rsidRDefault="00353FE9" w:rsidP="00353FE9">
      <w:pPr>
        <w:pStyle w:val="BodyText"/>
        <w:spacing w:before="53" w:line="276" w:lineRule="auto"/>
        <w:ind w:left="0" w:right="40"/>
        <w:rPr>
          <w:rFonts w:ascii="Arial" w:hAnsi="Arial" w:cs="Arial"/>
        </w:rPr>
      </w:pPr>
      <w:r>
        <w:rPr>
          <w:rFonts w:eastAsia="Calibri" w:cs="Arial"/>
          <w:color w:val="231F20"/>
        </w:rPr>
        <w:t xml:space="preserve">     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board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has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overall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responsibility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financial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management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school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principal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is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day</w:t>
      </w:r>
      <w:r>
        <w:rPr>
          <w:rFonts w:ascii="Arial" w:hAnsi="Arial" w:cs="Arial"/>
          <w:color w:val="231F20"/>
        </w:rPr>
        <w:t>-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>-</w:t>
      </w:r>
      <w:r>
        <w:rPr>
          <w:rFonts w:ascii="Arial" w:eastAsia="Calibri" w:hAnsi="Arial" w:cs="Arial"/>
          <w:color w:val="231F20"/>
        </w:rPr>
        <w:t>day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manager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school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responsible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achieving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legislative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requirements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charter</w:t>
      </w:r>
      <w:r>
        <w:rPr>
          <w:rFonts w:ascii="Arial" w:hAnsi="Arial" w:cs="Arial"/>
          <w:color w:val="231F20"/>
        </w:rPr>
        <w:t>/</w:t>
      </w:r>
      <w:r>
        <w:rPr>
          <w:rFonts w:ascii="Arial" w:eastAsia="Calibri" w:hAnsi="Arial" w:cs="Arial"/>
          <w:color w:val="231F20"/>
        </w:rPr>
        <w:t>strategic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aims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targets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within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board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policy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objectives</w:t>
      </w:r>
      <w:r>
        <w:rPr>
          <w:rFonts w:ascii="Arial" w:hAnsi="Arial" w:cs="Arial"/>
          <w:color w:val="231F20"/>
        </w:rPr>
        <w:t>.</w:t>
      </w:r>
    </w:p>
    <w:p w14:paraId="581C1B81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Delegations</w:t>
      </w:r>
    </w:p>
    <w:p w14:paraId="49580B44" w14:textId="77777777" w:rsidR="00353FE9" w:rsidRDefault="00353FE9" w:rsidP="00353FE9">
      <w:pPr>
        <w:pStyle w:val="BodyText"/>
        <w:spacing w:before="53" w:line="276" w:lineRule="auto"/>
        <w:ind w:left="0"/>
        <w:rPr>
          <w:rFonts w:ascii="Arial" w:hAnsi="Arial" w:cs="Arial"/>
        </w:rPr>
      </w:pPr>
      <w:r>
        <w:rPr>
          <w:rFonts w:eastAsia="Calibri" w:cs="Arial"/>
          <w:color w:val="231F20"/>
        </w:rPr>
        <w:t xml:space="preserve">    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board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delegates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day</w:t>
      </w:r>
      <w:r>
        <w:rPr>
          <w:rFonts w:ascii="Arial" w:hAnsi="Arial" w:cs="Arial"/>
          <w:color w:val="231F20"/>
        </w:rPr>
        <w:t>-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>-</w:t>
      </w:r>
      <w:r>
        <w:rPr>
          <w:rFonts w:ascii="Arial" w:eastAsia="Calibri" w:hAnsi="Arial" w:cs="Arial"/>
          <w:color w:val="231F20"/>
        </w:rPr>
        <w:t>day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management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school</w:t>
      </w:r>
      <w:r>
        <w:rPr>
          <w:rFonts w:ascii="Arial" w:hAnsi="Arial" w:cs="Arial"/>
          <w:color w:val="231F20"/>
        </w:rPr>
        <w:t>’</w:t>
      </w:r>
      <w:r>
        <w:rPr>
          <w:rFonts w:ascii="Arial" w:eastAsia="Calibri" w:hAnsi="Arial" w:cs="Arial"/>
          <w:color w:val="231F20"/>
        </w:rPr>
        <w:t>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budget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principal</w:t>
      </w:r>
      <w:r>
        <w:rPr>
          <w:rFonts w:ascii="Arial" w:hAnsi="Arial" w:cs="Arial"/>
          <w:color w:val="231F20"/>
        </w:rPr>
        <w:t>.</w:t>
      </w:r>
    </w:p>
    <w:p w14:paraId="51B4FCA7" w14:textId="77777777" w:rsidR="00353FE9" w:rsidRDefault="00353FE9" w:rsidP="00353FE9">
      <w:pPr>
        <w:pStyle w:val="BodyText"/>
        <w:spacing w:line="276" w:lineRule="auto"/>
        <w:ind w:left="0" w:right="40"/>
        <w:rPr>
          <w:rFonts w:ascii="Arial" w:hAnsi="Arial" w:cs="Arial"/>
        </w:rPr>
      </w:pPr>
      <w:r>
        <w:rPr>
          <w:rFonts w:ascii="Arial" w:eastAsia="Calibri" w:hAnsi="Arial" w:cs="Arial"/>
          <w:color w:val="231F20"/>
        </w:rPr>
        <w:t xml:space="preserve">     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principal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eastAsia="Calibri" w:hAnsi="Arial" w:cs="Arial"/>
          <w:color w:val="231F20"/>
        </w:rPr>
        <w:t>in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association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with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board's </w:t>
      </w:r>
      <w:r>
        <w:rPr>
          <w:rFonts w:ascii="Arial" w:eastAsia="Calibri" w:hAnsi="Arial" w:cs="Arial"/>
          <w:color w:val="231F20"/>
        </w:rPr>
        <w:t>finance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committee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eastAsia="Calibri" w:hAnsi="Arial" w:cs="Arial"/>
          <w:color w:val="231F20"/>
        </w:rPr>
        <w:t>is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responsible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recommending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annual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operating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capital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budget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board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within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timelines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specified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in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committee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terms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reference</w:t>
      </w:r>
      <w:r>
        <w:rPr>
          <w:rFonts w:ascii="Arial" w:hAnsi="Arial" w:cs="Arial"/>
          <w:color w:val="231F20"/>
        </w:rPr>
        <w:t>.</w:t>
      </w:r>
    </w:p>
    <w:p w14:paraId="274D816A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Expectations and limitations</w:t>
      </w:r>
    </w:p>
    <w:p w14:paraId="636A84D1" w14:textId="77777777" w:rsidR="00353FE9" w:rsidRDefault="00353FE9" w:rsidP="00353FE9">
      <w:pPr>
        <w:pStyle w:val="BodyText"/>
        <w:spacing w:before="53" w:line="276" w:lineRule="auto"/>
        <w:ind w:left="0"/>
        <w:rPr>
          <w:rFonts w:ascii="Arial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      Budgeting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shall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not: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fail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reflect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annual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plan;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risk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financial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jeopardy;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nor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fail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show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generally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acceptable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level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foresight</w:t>
      </w:r>
      <w:r>
        <w:rPr>
          <w:rFonts w:ascii="Arial" w:hAnsi="Arial" w:cs="Arial"/>
          <w:color w:val="231F20"/>
        </w:rPr>
        <w:t xml:space="preserve">. </w:t>
      </w:r>
    </w:p>
    <w:p w14:paraId="08762071" w14:textId="77777777" w:rsidR="00353FE9" w:rsidRDefault="00353FE9" w:rsidP="00353FE9">
      <w:pPr>
        <w:pStyle w:val="BodyText"/>
        <w:spacing w:before="53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 xml:space="preserve">    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budget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should</w:t>
      </w:r>
      <w:r>
        <w:rPr>
          <w:rFonts w:ascii="Arial" w:hAnsi="Arial" w:cs="Arial"/>
          <w:color w:val="231F20"/>
        </w:rPr>
        <w:t>:</w:t>
      </w:r>
    </w:p>
    <w:p w14:paraId="36C752B6" w14:textId="77777777" w:rsidR="00353FE9" w:rsidRDefault="00353FE9" w:rsidP="00353FE9">
      <w:pPr>
        <w:pStyle w:val="ListParagraph"/>
        <w:numPr>
          <w:ilvl w:val="0"/>
          <w:numId w:val="16"/>
        </w:numPr>
        <w:tabs>
          <w:tab w:val="left" w:pos="411"/>
        </w:tabs>
        <w:spacing w:before="68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Reflect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results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sought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board</w:t>
      </w:r>
    </w:p>
    <w:p w14:paraId="17BCEAC9" w14:textId="77777777" w:rsidR="00353FE9" w:rsidRDefault="00353FE9" w:rsidP="00353FE9">
      <w:pPr>
        <w:pStyle w:val="ListParagraph"/>
        <w:numPr>
          <w:ilvl w:val="0"/>
          <w:numId w:val="16"/>
        </w:numPr>
        <w:tabs>
          <w:tab w:val="left" w:pos="411"/>
        </w:tabs>
        <w:spacing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Reflect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priorities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established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board</w:t>
      </w:r>
    </w:p>
    <w:p w14:paraId="4587CC41" w14:textId="77777777" w:rsidR="00353FE9" w:rsidRDefault="00353FE9" w:rsidP="00353FE9">
      <w:pPr>
        <w:pStyle w:val="ListParagraph"/>
        <w:numPr>
          <w:ilvl w:val="0"/>
          <w:numId w:val="16"/>
        </w:numPr>
        <w:tabs>
          <w:tab w:val="left" w:pos="411"/>
        </w:tabs>
        <w:spacing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Comply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where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the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board</w:t>
      </w:r>
      <w:r>
        <w:rPr>
          <w:rFonts w:ascii="Arial" w:hAnsi="Arial" w:cs="Arial"/>
          <w:color w:val="231F20"/>
          <w:sz w:val="18"/>
        </w:rPr>
        <w:t>’</w:t>
      </w:r>
      <w:r>
        <w:rPr>
          <w:rFonts w:ascii="Arial" w:eastAsia="Calibri" w:hAnsi="Arial" w:cs="Arial"/>
          <w:color w:val="231F20"/>
          <w:sz w:val="18"/>
        </w:rPr>
        <w:t>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requirement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is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for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balanced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budget</w:t>
      </w:r>
    </w:p>
    <w:p w14:paraId="05B3AC0A" w14:textId="77777777" w:rsidR="00353FE9" w:rsidRDefault="00353FE9" w:rsidP="00353FE9">
      <w:pPr>
        <w:pStyle w:val="ListParagraph"/>
        <w:numPr>
          <w:ilvl w:val="0"/>
          <w:numId w:val="16"/>
        </w:numPr>
        <w:tabs>
          <w:tab w:val="left" w:pos="411"/>
        </w:tabs>
        <w:spacing w:before="68" w:line="276" w:lineRule="auto"/>
        <w:rPr>
          <w:rFonts w:ascii="Arial" w:hAnsi="Arial" w:cs="Arial"/>
          <w:sz w:val="18"/>
        </w:rPr>
      </w:pPr>
      <w:r>
        <w:rPr>
          <w:rFonts w:ascii="Arial" w:eastAsia="Calibri" w:hAnsi="Arial" w:cs="Arial"/>
          <w:color w:val="231F20"/>
          <w:sz w:val="18"/>
        </w:rPr>
        <w:t>Demonstrate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appropriate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degree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of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conservatism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in</w:t>
      </w:r>
      <w:r>
        <w:rPr>
          <w:rFonts w:ascii="Arial" w:hAnsi="Arial" w:cs="Arial"/>
          <w:color w:val="231F20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all</w:t>
      </w:r>
      <w:r>
        <w:rPr>
          <w:rFonts w:ascii="Arial" w:hAnsi="Arial" w:cs="Arial"/>
          <w:color w:val="231F20"/>
          <w:spacing w:val="-1"/>
          <w:sz w:val="18"/>
        </w:rPr>
        <w:t xml:space="preserve"> </w:t>
      </w:r>
      <w:r>
        <w:rPr>
          <w:rFonts w:ascii="Arial" w:eastAsia="Calibri" w:hAnsi="Arial" w:cs="Arial"/>
          <w:color w:val="231F20"/>
          <w:sz w:val="18"/>
        </w:rPr>
        <w:t>estimates</w:t>
      </w:r>
    </w:p>
    <w:p w14:paraId="58DBA79D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Procedures/supporting documentation</w:t>
      </w:r>
    </w:p>
    <w:p w14:paraId="7DBA23C6" w14:textId="77777777" w:rsidR="00353FE9" w:rsidRDefault="00353FE9" w:rsidP="00353FE9">
      <w:pPr>
        <w:pStyle w:val="BodyText"/>
        <w:spacing w:before="54"/>
        <w:ind w:left="0"/>
        <w:rPr>
          <w:rFonts w:ascii="Arial" w:hAnsi="Arial" w:cs="Arial"/>
        </w:rPr>
      </w:pPr>
      <w:r>
        <w:rPr>
          <w:rFonts w:ascii="Arial" w:eastAsia="Calibri" w:hAnsi="Arial" w:cs="Arial"/>
          <w:color w:val="231F20"/>
        </w:rPr>
        <w:t xml:space="preserve">     Annual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budget</w:t>
      </w:r>
    </w:p>
    <w:p w14:paraId="68FB58CA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Monitoring</w:t>
      </w:r>
    </w:p>
    <w:p w14:paraId="0D8A32F3" w14:textId="77777777" w:rsidR="00353FE9" w:rsidRDefault="00353FE9" w:rsidP="00353FE9">
      <w:pPr>
        <w:pStyle w:val="BodyText"/>
        <w:spacing w:before="53" w:line="276" w:lineRule="auto"/>
        <w:ind w:left="0" w:right="40"/>
        <w:rPr>
          <w:rFonts w:cs="Arial"/>
        </w:rPr>
      </w:pPr>
      <w:r>
        <w:rPr>
          <w:rFonts w:eastAsia="Calibri" w:cs="Arial"/>
          <w:color w:val="231F20"/>
        </w:rPr>
        <w:t xml:space="preserve">    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principal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is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responsible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financial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reporting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demonstrating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budget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compliance</w:t>
      </w:r>
      <w:r>
        <w:rPr>
          <w:rFonts w:ascii="Arial" w:hAnsi="Arial" w:cs="Arial"/>
          <w:color w:val="231F20"/>
        </w:rPr>
        <w:t xml:space="preserve">. </w:t>
      </w:r>
      <w:r>
        <w:rPr>
          <w:rFonts w:ascii="Arial" w:eastAsia="Calibri" w:hAnsi="Arial" w:cs="Arial"/>
          <w:color w:val="231F20"/>
        </w:rPr>
        <w:t>Where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is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non</w:t>
      </w:r>
      <w:r>
        <w:rPr>
          <w:rFonts w:ascii="Arial" w:hAnsi="Arial" w:cs="Arial"/>
          <w:color w:val="231F20"/>
        </w:rPr>
        <w:t>-</w:t>
      </w:r>
      <w:r>
        <w:rPr>
          <w:rFonts w:ascii="Arial" w:eastAsia="Calibri" w:hAnsi="Arial" w:cs="Arial"/>
          <w:color w:val="231F20"/>
        </w:rPr>
        <w:t>compliance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eastAsia="Calibri" w:hAnsi="Arial" w:cs="Arial"/>
          <w:color w:val="231F20"/>
        </w:rPr>
        <w:t>variances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are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reported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board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with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recommendations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actions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required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meet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compliance</w:t>
      </w:r>
      <w:r>
        <w:rPr>
          <w:rFonts w:cs="Arial"/>
          <w:color w:val="231F20"/>
        </w:rPr>
        <w:t>.</w:t>
      </w:r>
    </w:p>
    <w:p w14:paraId="09D14788" w14:textId="77777777" w:rsidR="00353FE9" w:rsidRDefault="00353FE9" w:rsidP="00353FE9">
      <w:pPr>
        <w:spacing w:before="227" w:line="220" w:lineRule="auto"/>
        <w:ind w:right="-20"/>
        <w:rPr>
          <w:rFonts w:ascii="Arial" w:eastAsia="Calibri" w:hAnsi="Arial" w:cs="Arial"/>
          <w:b/>
          <w:color w:val="499799"/>
          <w:sz w:val="36"/>
          <w:szCs w:val="36"/>
        </w:rPr>
      </w:pPr>
      <w:r>
        <w:rPr>
          <w:rFonts w:ascii="Arial" w:eastAsia="Calibri" w:hAnsi="Arial" w:cs="Arial"/>
          <w:b/>
          <w:color w:val="499799"/>
          <w:sz w:val="36"/>
          <w:szCs w:val="36"/>
        </w:rPr>
        <w:t>Legislative compliance</w:t>
      </w:r>
    </w:p>
    <w:p w14:paraId="3CB1E92C" w14:textId="77777777" w:rsidR="00353FE9" w:rsidRDefault="00353FE9" w:rsidP="00353FE9">
      <w:pPr>
        <w:pStyle w:val="BodyText"/>
        <w:spacing w:before="53" w:line="276" w:lineRule="auto"/>
        <w:ind w:left="0"/>
        <w:rPr>
          <w:rFonts w:ascii="Arial" w:eastAsia="Calibri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Calibri" w:hAnsi="Arial" w:cs="Arial"/>
          <w:color w:val="231F20"/>
        </w:rPr>
        <w:t xml:space="preserve">      Refer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to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Ministry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of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Education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website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for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information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on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managing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school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finances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and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>the</w:t>
      </w:r>
      <w:r>
        <w:rPr>
          <w:rFonts w:ascii="Arial" w:hAnsi="Arial" w:cs="Arial"/>
          <w:color w:val="231F20"/>
        </w:rPr>
        <w:t xml:space="preserve"> Financial Information for Schools Handbook </w:t>
      </w:r>
      <w:hyperlink r:id="rId7" w:history="1">
        <w:r>
          <w:rPr>
            <w:rStyle w:val="Hyperlink"/>
            <w:rFonts w:ascii="Arial" w:hAnsi="Arial" w:cs="Arial"/>
          </w:rPr>
          <w:t>(FISH)</w:t>
        </w:r>
      </w:hyperlink>
    </w:p>
    <w:p w14:paraId="60D1E1F3" w14:textId="77777777" w:rsidR="000A34E8" w:rsidRDefault="000A34E8" w:rsidP="002F2C8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</w:p>
    <w:p w14:paraId="78DC6F12" w14:textId="7868A013" w:rsidR="002F2C8B" w:rsidRPr="002F2C8B" w:rsidRDefault="002F2C8B" w:rsidP="002F2C8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2F2C8B">
        <w:rPr>
          <w:rFonts w:ascii="Arial" w:eastAsia="Times New Roman" w:hAnsi="Arial" w:cs="Arial"/>
          <w:color w:val="000000"/>
          <w:lang w:eastAsia="en-NZ"/>
        </w:rPr>
        <w:t>Review schedule: Triennially - remove committee</w:t>
      </w:r>
    </w:p>
    <w:p w14:paraId="78DC6F13" w14:textId="77777777" w:rsidR="002F2C8B" w:rsidRPr="002F2C8B" w:rsidRDefault="002F2C8B" w:rsidP="002F2C8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2F2C8B">
        <w:rPr>
          <w:rFonts w:ascii="Arial" w:eastAsia="Times New Roman" w:hAnsi="Arial" w:cs="Arial"/>
          <w:color w:val="000000"/>
          <w:lang w:eastAsia="en-NZ"/>
        </w:rPr>
        <w:t> </w:t>
      </w:r>
    </w:p>
    <w:p w14:paraId="78DC6F14" w14:textId="77777777" w:rsidR="002F2C8B" w:rsidRPr="002F2C8B" w:rsidRDefault="002F2C8B" w:rsidP="002F2C8B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2F2C8B">
        <w:rPr>
          <w:rFonts w:ascii="Arial" w:eastAsia="Times New Roman" w:hAnsi="Arial" w:cs="Arial"/>
          <w:color w:val="000000"/>
          <w:lang w:eastAsia="en-NZ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4680"/>
      </w:tblGrid>
      <w:tr w:rsidR="002F2C8B" w:rsidRPr="002F2C8B" w14:paraId="78DC6F17" w14:textId="77777777" w:rsidTr="004810FA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5" w14:textId="359378F4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lastRenderedPageBreak/>
              <w:t>Meeting Reviewed: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DC6F16" w14:textId="45EAB57E" w:rsidR="002F2C8B" w:rsidRPr="002F2C8B" w:rsidRDefault="00C745DF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  <w:tr w:rsidR="002F2C8B" w:rsidRPr="002F2C8B" w14:paraId="78DC6F1A" w14:textId="77777777" w:rsidTr="004810FA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8" w14:textId="7593E960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Meeting Approved: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DC6F19" w14:textId="5B244F00" w:rsidR="002F2C8B" w:rsidRPr="002F2C8B" w:rsidRDefault="00C745DF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  <w:tr w:rsidR="002F2C8B" w:rsidRPr="002F2C8B" w14:paraId="78DC6F1D" w14:textId="77777777" w:rsidTr="004810FA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B" w14:textId="329A175D" w:rsidR="002F2C8B" w:rsidRPr="002F2C8B" w:rsidRDefault="008A734A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Board Presiding Member</w:t>
            </w:r>
            <w:r w:rsidR="002F2C8B"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val="en-US" w:eastAsia="en-NZ"/>
              </w:rPr>
              <w:t>: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C" w14:textId="77777777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Chris France</w:t>
            </w:r>
          </w:p>
        </w:tc>
      </w:tr>
      <w:tr w:rsidR="002F2C8B" w:rsidRPr="002F2C8B" w14:paraId="78DC6F20" w14:textId="77777777" w:rsidTr="004810FA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E" w14:textId="03546F07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 xml:space="preserve">Signed by </w:t>
            </w:r>
            <w:r w:rsidR="00C745DF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Presiding Member</w:t>
            </w: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: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1F" w14:textId="77777777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 </w:t>
            </w:r>
          </w:p>
        </w:tc>
      </w:tr>
      <w:tr w:rsidR="002F2C8B" w:rsidRPr="002F2C8B" w14:paraId="78DC6F23" w14:textId="77777777" w:rsidTr="004810FA">
        <w:tc>
          <w:tcPr>
            <w:tcW w:w="35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8DC6F21" w14:textId="77777777" w:rsidR="002F2C8B" w:rsidRPr="002F2C8B" w:rsidRDefault="002F2C8B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 w:rsidRPr="002F2C8B"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Date: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DC6F22" w14:textId="7A5F8B0D" w:rsidR="002F2C8B" w:rsidRPr="002F2C8B" w:rsidRDefault="00C745DF" w:rsidP="002F2C8B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</w:pPr>
            <w:r>
              <w:rPr>
                <w:rFonts w:ascii="Arial" w:eastAsia="Times New Roman" w:hAnsi="Arial" w:cs="Arial"/>
                <w:color w:val="00B0F0"/>
                <w:sz w:val="24"/>
                <w:szCs w:val="24"/>
                <w:lang w:eastAsia="en-NZ"/>
              </w:rPr>
              <w:t>28 June 2022</w:t>
            </w:r>
          </w:p>
        </w:tc>
      </w:tr>
    </w:tbl>
    <w:p w14:paraId="78DC6F24" w14:textId="77777777" w:rsidR="002F2C8B" w:rsidRPr="002F2C8B" w:rsidRDefault="002F2C8B" w:rsidP="002F2C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NZ"/>
        </w:rPr>
      </w:pPr>
      <w:r w:rsidRPr="002F2C8B">
        <w:rPr>
          <w:rFonts w:ascii="Arial" w:eastAsia="Times New Roman" w:hAnsi="Arial" w:cs="Arial"/>
          <w:color w:val="000000"/>
          <w:sz w:val="24"/>
          <w:szCs w:val="24"/>
          <w:lang w:eastAsia="en-NZ"/>
        </w:rPr>
        <w:t> </w:t>
      </w:r>
    </w:p>
    <w:p w14:paraId="78DC6F25" w14:textId="77777777" w:rsidR="00A6359B" w:rsidRPr="00470084" w:rsidRDefault="00A6359B">
      <w:pPr>
        <w:rPr>
          <w:rFonts w:ascii="Arial" w:hAnsi="Arial" w:cs="Arial"/>
        </w:rPr>
      </w:pPr>
    </w:p>
    <w:sectPr w:rsidR="00A6359B" w:rsidRPr="004700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08BF" w14:textId="77777777" w:rsidR="00DB3A34" w:rsidRDefault="00DB3A34" w:rsidP="00B12541">
      <w:pPr>
        <w:spacing w:after="0" w:line="240" w:lineRule="auto"/>
      </w:pPr>
      <w:r>
        <w:separator/>
      </w:r>
    </w:p>
  </w:endnote>
  <w:endnote w:type="continuationSeparator" w:id="0">
    <w:p w14:paraId="007283A0" w14:textId="77777777" w:rsidR="00DB3A34" w:rsidRDefault="00DB3A34" w:rsidP="00B12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E961" w14:textId="77777777" w:rsidR="00DB3A34" w:rsidRDefault="00DB3A34" w:rsidP="00B12541">
      <w:pPr>
        <w:spacing w:after="0" w:line="240" w:lineRule="auto"/>
      </w:pPr>
      <w:r>
        <w:separator/>
      </w:r>
    </w:p>
  </w:footnote>
  <w:footnote w:type="continuationSeparator" w:id="0">
    <w:p w14:paraId="2E5F3323" w14:textId="77777777" w:rsidR="00DB3A34" w:rsidRDefault="00DB3A34" w:rsidP="00B12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6F2A" w14:textId="77777777" w:rsidR="00B12541" w:rsidRDefault="00B12541">
    <w:pPr>
      <w:pStyle w:val="Header"/>
    </w:pPr>
    <w:r>
      <w:rPr>
        <w:noProof/>
        <w:lang w:eastAsia="en-NZ"/>
      </w:rPr>
      <w:drawing>
        <wp:inline distT="0" distB="0" distL="0" distR="0" wp14:anchorId="78DC6F2C" wp14:editId="78DC6F2D">
          <wp:extent cx="5731510" cy="9175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DC6F2B" w14:textId="77777777" w:rsidR="00B12541" w:rsidRDefault="00B12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E00"/>
    <w:multiLevelType w:val="multilevel"/>
    <w:tmpl w:val="D854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35DDE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240FC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136D2"/>
    <w:multiLevelType w:val="multilevel"/>
    <w:tmpl w:val="C6D0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90064"/>
    <w:multiLevelType w:val="multilevel"/>
    <w:tmpl w:val="77E2AF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D4CD2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C60F1"/>
    <w:multiLevelType w:val="multilevel"/>
    <w:tmpl w:val="87507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6780A"/>
    <w:multiLevelType w:val="multilevel"/>
    <w:tmpl w:val="F720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F34FF1"/>
    <w:multiLevelType w:val="multilevel"/>
    <w:tmpl w:val="8D2A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0105C"/>
    <w:multiLevelType w:val="multilevel"/>
    <w:tmpl w:val="982EA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75A5F"/>
    <w:multiLevelType w:val="multilevel"/>
    <w:tmpl w:val="81C0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45C6B"/>
    <w:multiLevelType w:val="multilevel"/>
    <w:tmpl w:val="9C726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25CAE"/>
    <w:multiLevelType w:val="multilevel"/>
    <w:tmpl w:val="75FEF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A1459"/>
    <w:multiLevelType w:val="hybridMultilevel"/>
    <w:tmpl w:val="C3900D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732A6"/>
    <w:multiLevelType w:val="multilevel"/>
    <w:tmpl w:val="90CE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144291">
    <w:abstractNumId w:val="12"/>
    <w:lvlOverride w:ilvl="0">
      <w:startOverride w:val="4"/>
    </w:lvlOverride>
  </w:num>
  <w:num w:numId="2" w16cid:durableId="403261281">
    <w:abstractNumId w:val="7"/>
    <w:lvlOverride w:ilvl="0">
      <w:startOverride w:val="1"/>
    </w:lvlOverride>
  </w:num>
  <w:num w:numId="3" w16cid:durableId="289366967">
    <w:abstractNumId w:val="1"/>
    <w:lvlOverride w:ilvl="0">
      <w:startOverride w:val="2"/>
    </w:lvlOverride>
  </w:num>
  <w:num w:numId="4" w16cid:durableId="481236109">
    <w:abstractNumId w:val="5"/>
  </w:num>
  <w:num w:numId="5" w16cid:durableId="568080194">
    <w:abstractNumId w:val="2"/>
    <w:lvlOverride w:ilvl="0">
      <w:startOverride w:val="3"/>
    </w:lvlOverride>
  </w:num>
  <w:num w:numId="6" w16cid:durableId="1301764654">
    <w:abstractNumId w:val="8"/>
  </w:num>
  <w:num w:numId="7" w16cid:durableId="548342441">
    <w:abstractNumId w:val="0"/>
    <w:lvlOverride w:ilvl="0">
      <w:startOverride w:val="6"/>
    </w:lvlOverride>
  </w:num>
  <w:num w:numId="8" w16cid:durableId="1181315622">
    <w:abstractNumId w:val="6"/>
    <w:lvlOverride w:ilvl="0">
      <w:startOverride w:val="1"/>
    </w:lvlOverride>
  </w:num>
  <w:num w:numId="9" w16cid:durableId="1735733163">
    <w:abstractNumId w:val="3"/>
    <w:lvlOverride w:ilvl="0">
      <w:startOverride w:val="7"/>
    </w:lvlOverride>
  </w:num>
  <w:num w:numId="10" w16cid:durableId="926231447">
    <w:abstractNumId w:val="10"/>
    <w:lvlOverride w:ilvl="0">
      <w:startOverride w:val="1"/>
    </w:lvlOverride>
  </w:num>
  <w:num w:numId="11" w16cid:durableId="1953169842">
    <w:abstractNumId w:val="10"/>
    <w:lvlOverride w:ilvl="0"/>
    <w:lvlOverride w:ilvl="1">
      <w:startOverride w:val="1"/>
    </w:lvlOverride>
  </w:num>
  <w:num w:numId="12" w16cid:durableId="1943419429">
    <w:abstractNumId w:val="11"/>
    <w:lvlOverride w:ilvl="0">
      <w:startOverride w:val="2"/>
    </w:lvlOverride>
  </w:num>
  <w:num w:numId="13" w16cid:durableId="1129933172">
    <w:abstractNumId w:val="4"/>
    <w:lvlOverride w:ilvl="0">
      <w:startOverride w:val="3"/>
    </w:lvlOverride>
  </w:num>
  <w:num w:numId="14" w16cid:durableId="522980899">
    <w:abstractNumId w:val="9"/>
    <w:lvlOverride w:ilvl="0">
      <w:startOverride w:val="8"/>
    </w:lvlOverride>
  </w:num>
  <w:num w:numId="15" w16cid:durableId="972715378">
    <w:abstractNumId w:val="14"/>
    <w:lvlOverride w:ilvl="0">
      <w:startOverride w:val="1"/>
    </w:lvlOverride>
  </w:num>
  <w:num w:numId="16" w16cid:durableId="5843392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1"/>
    <w:rsid w:val="000A34E8"/>
    <w:rsid w:val="002F2C8B"/>
    <w:rsid w:val="00353FE9"/>
    <w:rsid w:val="0036134E"/>
    <w:rsid w:val="003809EC"/>
    <w:rsid w:val="0038299E"/>
    <w:rsid w:val="00470084"/>
    <w:rsid w:val="004810FA"/>
    <w:rsid w:val="00887689"/>
    <w:rsid w:val="008A734A"/>
    <w:rsid w:val="008E0F05"/>
    <w:rsid w:val="00902DA5"/>
    <w:rsid w:val="0098320C"/>
    <w:rsid w:val="00A27AA4"/>
    <w:rsid w:val="00A6359B"/>
    <w:rsid w:val="00AC2FA8"/>
    <w:rsid w:val="00B12541"/>
    <w:rsid w:val="00C13E9F"/>
    <w:rsid w:val="00C37F3C"/>
    <w:rsid w:val="00C745DF"/>
    <w:rsid w:val="00CF2C73"/>
    <w:rsid w:val="00D22330"/>
    <w:rsid w:val="00D52843"/>
    <w:rsid w:val="00D655A1"/>
    <w:rsid w:val="00DB3A34"/>
    <w:rsid w:val="00ED6631"/>
    <w:rsid w:val="00FD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C6F03"/>
  <w15:chartTrackingRefBased/>
  <w15:docId w15:val="{FC829C18-6821-4C46-9662-9F36FBC5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41"/>
  </w:style>
  <w:style w:type="paragraph" w:styleId="Footer">
    <w:name w:val="footer"/>
    <w:basedOn w:val="Normal"/>
    <w:link w:val="FooterChar"/>
    <w:uiPriority w:val="99"/>
    <w:unhideWhenUsed/>
    <w:rsid w:val="00B1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41"/>
  </w:style>
  <w:style w:type="paragraph" w:styleId="NormalWeb">
    <w:name w:val="Normal (Web)"/>
    <w:basedOn w:val="Normal"/>
    <w:uiPriority w:val="99"/>
    <w:semiHidden/>
    <w:unhideWhenUsed/>
    <w:rsid w:val="00B1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3FE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53FE9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sz w:val="18"/>
      <w:szCs w:val="18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53FE9"/>
    <w:rPr>
      <w:rFonts w:ascii="FlamaSemicondensed-Light" w:eastAsia="FlamaSemicondensed-Light" w:hAnsi="FlamaSemicondensed-Light" w:cs="FlamaSemicondensed-Light"/>
      <w:sz w:val="18"/>
      <w:szCs w:val="18"/>
      <w:lang w:val="en-US" w:bidi="en-US"/>
    </w:rPr>
  </w:style>
  <w:style w:type="paragraph" w:styleId="ListParagraph">
    <w:name w:val="List Paragraph"/>
    <w:basedOn w:val="Normal"/>
    <w:uiPriority w:val="1"/>
    <w:qFormat/>
    <w:rsid w:val="00353FE9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3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cation.govt.nz/assets/Documents/School/Running-a-school/Financial-Information-for-Schools-Handbook/Financial-Information-for-Schools-Handbook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Otahuhu Intermediate School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8</cp:revision>
  <cp:lastPrinted>2019-07-02T20:44:00Z</cp:lastPrinted>
  <dcterms:created xsi:type="dcterms:W3CDTF">2022-05-22T23:38:00Z</dcterms:created>
  <dcterms:modified xsi:type="dcterms:W3CDTF">2022-06-29T00:14:00Z</dcterms:modified>
</cp:coreProperties>
</file>